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7B8" w:rsidRDefault="0062228B">
      <w:pPr>
        <w:pStyle w:val="BodyText"/>
        <w:spacing w:before="9"/>
        <w:ind w:left="100"/>
      </w:pPr>
      <w:bookmarkStart w:id="0" w:name="_GoBack"/>
      <w:bookmarkEnd w:id="0"/>
      <w:r>
        <w:t>Phonics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rPr>
          <w:spacing w:val="-2"/>
        </w:rPr>
        <w:t>Carers</w:t>
      </w:r>
      <w:proofErr w:type="spellEnd"/>
    </w:p>
    <w:p w:rsidR="00DD57B8" w:rsidRDefault="0062228B">
      <w:pPr>
        <w:spacing w:before="1"/>
        <w:ind w:left="100"/>
        <w:rPr>
          <w:rFonts w:ascii="Calibri Light"/>
          <w:sz w:val="36"/>
        </w:rPr>
      </w:pPr>
      <w:r>
        <w:rPr>
          <w:rFonts w:ascii="Calibri Light"/>
          <w:spacing w:val="-2"/>
          <w:sz w:val="36"/>
        </w:rPr>
        <w:t>Glossary</w:t>
      </w:r>
    </w:p>
    <w:p w:rsidR="00DD57B8" w:rsidRDefault="00DD57B8">
      <w:pPr>
        <w:pStyle w:val="BodyText"/>
        <w:spacing w:before="1"/>
        <w:rPr>
          <w:sz w:val="24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7286"/>
      </w:tblGrid>
      <w:tr w:rsidR="00DD57B8">
        <w:trPr>
          <w:trHeight w:val="560"/>
        </w:trPr>
        <w:tc>
          <w:tcPr>
            <w:tcW w:w="1697" w:type="dxa"/>
            <w:shd w:val="clear" w:color="auto" w:fill="5B9BD4"/>
          </w:tcPr>
          <w:p w:rsidR="00DD57B8" w:rsidRDefault="0062228B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7286" w:type="dxa"/>
            <w:shd w:val="clear" w:color="auto" w:fill="5B9BD4"/>
          </w:tcPr>
          <w:p w:rsidR="00DD57B8" w:rsidRDefault="0062228B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MEANING</w:t>
            </w:r>
          </w:p>
        </w:tc>
      </w:tr>
      <w:tr w:rsidR="00DD57B8">
        <w:trPr>
          <w:trHeight w:val="829"/>
        </w:trPr>
        <w:tc>
          <w:tcPr>
            <w:tcW w:w="1697" w:type="dxa"/>
          </w:tcPr>
          <w:p w:rsidR="00DD57B8" w:rsidRDefault="0062228B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Blending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line="267" w:lineRule="exact"/>
            </w:pPr>
            <w:r>
              <w:t>Saying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word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merging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</w:t>
            </w:r>
          </w:p>
          <w:p w:rsidR="00DD57B8" w:rsidRDefault="0062228B">
            <w:pPr>
              <w:pStyle w:val="TableParagraph"/>
            </w:pPr>
            <w:r>
              <w:t>‘blending’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>together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word.</w:t>
            </w:r>
            <w:r>
              <w:rPr>
                <w:spacing w:val="-3"/>
              </w:rPr>
              <w:t xml:space="preserve"> </w:t>
            </w:r>
            <w:r>
              <w:t>(Used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reading.)</w:t>
            </w:r>
          </w:p>
        </w:tc>
      </w:tr>
      <w:tr w:rsidR="00DD57B8">
        <w:trPr>
          <w:trHeight w:val="563"/>
        </w:trPr>
        <w:tc>
          <w:tcPr>
            <w:tcW w:w="1697" w:type="dxa"/>
          </w:tcPr>
          <w:p w:rsidR="00DD57B8" w:rsidRDefault="0062228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Consonant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before="1"/>
            </w:pPr>
            <w:r>
              <w:t>Most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alphabet</w:t>
            </w:r>
            <w:r>
              <w:rPr>
                <w:spacing w:val="-5"/>
              </w:rPr>
              <w:t xml:space="preserve"> </w:t>
            </w:r>
            <w:r>
              <w:t>(excluding</w:t>
            </w:r>
            <w:r>
              <w:rPr>
                <w:spacing w:val="-5"/>
              </w:rPr>
              <w:t xml:space="preserve"> </w:t>
            </w:r>
            <w:r>
              <w:t>vowels: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a,e</w:t>
            </w:r>
            <w:proofErr w:type="gramEnd"/>
            <w:r>
              <w:rPr>
                <w:spacing w:val="-2"/>
              </w:rPr>
              <w:t>,i,o,u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DD57B8">
        <w:trPr>
          <w:trHeight w:val="3162"/>
        </w:trPr>
        <w:tc>
          <w:tcPr>
            <w:tcW w:w="1697" w:type="dxa"/>
          </w:tcPr>
          <w:p w:rsidR="00DD57B8" w:rsidRDefault="0062228B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CVC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words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ind w:right="182"/>
            </w:pPr>
            <w:r>
              <w:t>Abbreviation used for consonant-vowel-consonant words. (Used to describe the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sounds.)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CVC</w:t>
            </w:r>
            <w:r>
              <w:rPr>
                <w:spacing w:val="-3"/>
              </w:rPr>
              <w:t xml:space="preserve"> </w:t>
            </w:r>
            <w:r>
              <w:t>words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following:</w:t>
            </w:r>
            <w:r>
              <w:rPr>
                <w:spacing w:val="-3"/>
              </w:rPr>
              <w:t xml:space="preserve"> </w:t>
            </w:r>
            <w:r>
              <w:t>cat, pen, top</w:t>
            </w:r>
          </w:p>
          <w:p w:rsidR="00DD57B8" w:rsidRDefault="00DD57B8">
            <w:pPr>
              <w:pStyle w:val="TableParagraph"/>
              <w:spacing w:before="11"/>
              <w:ind w:left="0"/>
              <w:rPr>
                <w:rFonts w:ascii="Calibri Light"/>
                <w:sz w:val="23"/>
              </w:rPr>
            </w:pPr>
          </w:p>
          <w:p w:rsidR="00DD57B8" w:rsidRDefault="0062228B">
            <w:pPr>
              <w:pStyle w:val="TableParagraph"/>
              <w:spacing w:line="268" w:lineRule="exact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similar</w:t>
            </w:r>
            <w:r>
              <w:rPr>
                <w:spacing w:val="-4"/>
              </w:rPr>
              <w:t xml:space="preserve"> </w:t>
            </w:r>
            <w:r>
              <w:t>abbreviations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:rsidR="00DD57B8" w:rsidRDefault="0062228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VC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(vowel-consonant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words).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  <w:p w:rsidR="00DD57B8" w:rsidRDefault="0062228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42" w:lineRule="auto"/>
              <w:ind w:right="526"/>
              <w:rPr>
                <w:sz w:val="24"/>
              </w:rPr>
            </w:pPr>
            <w:r>
              <w:rPr>
                <w:sz w:val="24"/>
              </w:rPr>
              <w:t>CCVC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(consonant-consonant-vowel-consonant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words) Examples: trip, flat, this</w:t>
            </w:r>
          </w:p>
          <w:p w:rsidR="00DD57B8" w:rsidRDefault="0062228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526"/>
              <w:rPr>
                <w:sz w:val="24"/>
              </w:rPr>
            </w:pPr>
            <w:r>
              <w:rPr>
                <w:sz w:val="24"/>
              </w:rPr>
              <w:t>CVCC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(consonant-vowel-consonant-consonant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words) Examples: milk, fast, bark</w:t>
            </w:r>
          </w:p>
        </w:tc>
      </w:tr>
      <w:tr w:rsidR="00DD57B8">
        <w:trPr>
          <w:trHeight w:val="3213"/>
        </w:trPr>
        <w:tc>
          <w:tcPr>
            <w:tcW w:w="1697" w:type="dxa"/>
          </w:tcPr>
          <w:p w:rsidR="00DD57B8" w:rsidRDefault="0062228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Digraph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before="1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together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sound.</w:t>
            </w:r>
            <w:r>
              <w:rPr>
                <w:spacing w:val="-3"/>
              </w:rPr>
              <w:t xml:space="preserve"> </w:t>
            </w:r>
            <w:r>
              <w:t>Examples: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ea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ch</w:t>
            </w:r>
            <w:proofErr w:type="spellEnd"/>
            <w:r>
              <w:t>,</w:t>
            </w:r>
            <w:r>
              <w:rPr>
                <w:spacing w:val="-5"/>
              </w:rPr>
              <w:t xml:space="preserve"> ay</w:t>
            </w:r>
          </w:p>
          <w:p w:rsidR="00DD57B8" w:rsidRDefault="00DD57B8">
            <w:pPr>
              <w:pStyle w:val="TableParagraph"/>
              <w:ind w:left="0"/>
              <w:rPr>
                <w:rFonts w:ascii="Calibri Light"/>
                <w:sz w:val="24"/>
              </w:rPr>
            </w:pPr>
          </w:p>
          <w:p w:rsidR="00DD57B8" w:rsidRDefault="0062228B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digraphs:</w:t>
            </w:r>
          </w:p>
          <w:p w:rsidR="00DD57B8" w:rsidRDefault="0062228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Vowel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digraph: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digraph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vowel. Examples: b</w:t>
            </w:r>
            <w:r>
              <w:rPr>
                <w:b/>
                <w:sz w:val="24"/>
              </w:rPr>
              <w:t>oa</w:t>
            </w:r>
            <w:r>
              <w:rPr>
                <w:sz w:val="24"/>
              </w:rPr>
              <w:t>t, d</w:t>
            </w:r>
            <w:r>
              <w:rPr>
                <w:b/>
                <w:sz w:val="24"/>
              </w:rPr>
              <w:t>ay</w:t>
            </w:r>
            <w:r>
              <w:rPr>
                <w:sz w:val="24"/>
              </w:rPr>
              <w:t>, b</w:t>
            </w:r>
            <w:r>
              <w:rPr>
                <w:b/>
                <w:sz w:val="24"/>
              </w:rPr>
              <w:t>oo</w:t>
            </w:r>
            <w:r>
              <w:rPr>
                <w:sz w:val="24"/>
              </w:rPr>
              <w:t>k</w:t>
            </w:r>
          </w:p>
          <w:p w:rsidR="00DD57B8" w:rsidRDefault="0062228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42" w:lineRule="auto"/>
              <w:ind w:right="806"/>
              <w:rPr>
                <w:sz w:val="24"/>
              </w:rPr>
            </w:pPr>
            <w:r>
              <w:rPr>
                <w:sz w:val="24"/>
              </w:rPr>
              <w:t>Consonant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digraph: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consonants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together. Examples: </w:t>
            </w:r>
            <w:r>
              <w:rPr>
                <w:b/>
                <w:sz w:val="24"/>
              </w:rPr>
              <w:t>sh</w:t>
            </w:r>
            <w:r>
              <w:rPr>
                <w:sz w:val="24"/>
              </w:rPr>
              <w:t xml:space="preserve">op, </w:t>
            </w:r>
            <w:r>
              <w:rPr>
                <w:b/>
                <w:sz w:val="24"/>
              </w:rPr>
              <w:t>ch</w:t>
            </w:r>
            <w:r>
              <w:rPr>
                <w:sz w:val="24"/>
              </w:rPr>
              <w:t xml:space="preserve">ip, </w:t>
            </w:r>
            <w:r>
              <w:rPr>
                <w:b/>
                <w:sz w:val="24"/>
              </w:rPr>
              <w:t>th</w:t>
            </w:r>
            <w:r>
              <w:rPr>
                <w:sz w:val="24"/>
              </w:rPr>
              <w:t>in</w:t>
            </w:r>
          </w:p>
          <w:p w:rsidR="00DD57B8" w:rsidRDefault="0062228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Split digraph (previously called ‘magic e’): two letters, which 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sound,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separated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word, such as a-e, e-e,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-e, o-e, u-e. Examples: cake, line, rule</w:t>
            </w:r>
          </w:p>
        </w:tc>
      </w:tr>
      <w:tr w:rsidR="00DD57B8">
        <w:trPr>
          <w:trHeight w:val="855"/>
        </w:trPr>
        <w:tc>
          <w:tcPr>
            <w:tcW w:w="1697" w:type="dxa"/>
          </w:tcPr>
          <w:p w:rsidR="00DD57B8" w:rsidRDefault="0062228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Grapheme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before="1"/>
            </w:pP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letters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represent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5"/>
              </w:rPr>
              <w:t xml:space="preserve"> </w:t>
            </w:r>
            <w:r>
              <w:t xml:space="preserve">sound (phoneme). Examples: 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proofErr w:type="spellStart"/>
            <w:r>
              <w:t>sh</w:t>
            </w:r>
            <w:proofErr w:type="spellEnd"/>
            <w:r>
              <w:t>, air, ck.</w:t>
            </w:r>
          </w:p>
        </w:tc>
      </w:tr>
      <w:tr w:rsidR="00DD57B8">
        <w:trPr>
          <w:trHeight w:val="2917"/>
        </w:trPr>
        <w:tc>
          <w:tcPr>
            <w:tcW w:w="1697" w:type="dxa"/>
          </w:tcPr>
          <w:p w:rsidR="00DD57B8" w:rsidRDefault="0062228B">
            <w:pPr>
              <w:pStyle w:val="TableParagraph"/>
              <w:ind w:left="107" w:right="393"/>
              <w:rPr>
                <w:b/>
              </w:rPr>
            </w:pPr>
            <w:r>
              <w:rPr>
                <w:b/>
              </w:rPr>
              <w:t>Letters and Sounds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government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detailing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phonics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 xml:space="preserve">six </w:t>
            </w:r>
            <w:r>
              <w:rPr>
                <w:spacing w:val="-2"/>
              </w:rPr>
              <w:t>phases:</w:t>
            </w:r>
          </w:p>
          <w:p w:rsidR="00DD57B8" w:rsidRDefault="0062228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2" w:lineRule="auto"/>
              <w:ind w:right="230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Split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aspects,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talking about environmental sounds and letters.</w:t>
            </w:r>
          </w:p>
          <w:p w:rsidR="00DD57B8" w:rsidRDefault="0062228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nineteen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alphabet,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the first five tricky words, and using them to read and spell simple words and captions.</w:t>
            </w:r>
          </w:p>
          <w:p w:rsidR="00DD57B8" w:rsidRDefault="0062228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Phase 3: Learning the remaining letters of the alphabet, some 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three-letter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digraphs,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tricky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  <w:p w:rsidR="00DD57B8" w:rsidRDefault="0062228B">
            <w:pPr>
              <w:pStyle w:val="TableParagraph"/>
              <w:spacing w:line="270" w:lineRule="exact"/>
              <w:ind w:left="825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sentences.</w:t>
            </w:r>
          </w:p>
        </w:tc>
      </w:tr>
    </w:tbl>
    <w:p w:rsidR="00DD57B8" w:rsidRDefault="00DD57B8">
      <w:pPr>
        <w:spacing w:line="270" w:lineRule="exact"/>
        <w:rPr>
          <w:sz w:val="24"/>
        </w:rPr>
        <w:sectPr w:rsidR="00DD57B8">
          <w:headerReference w:type="default" r:id="rId7"/>
          <w:footerReference w:type="default" r:id="rId8"/>
          <w:type w:val="continuous"/>
          <w:pgSz w:w="11900" w:h="16850"/>
          <w:pgMar w:top="1560" w:right="1340" w:bottom="620" w:left="1340" w:header="0" w:footer="430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7286"/>
      </w:tblGrid>
      <w:tr w:rsidR="00DD57B8">
        <w:trPr>
          <w:trHeight w:val="2968"/>
        </w:trPr>
        <w:tc>
          <w:tcPr>
            <w:tcW w:w="1697" w:type="dxa"/>
          </w:tcPr>
          <w:p w:rsidR="00DD57B8" w:rsidRDefault="00DD57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 words with adjacent consonants and more than one syllable. Reading and writing sentences using these longer words along with the next set of tricky words.</w:t>
            </w:r>
          </w:p>
          <w:p w:rsidR="00DD57B8" w:rsidRDefault="0062228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Phase 5</w:t>
            </w:r>
            <w:r>
              <w:rPr>
                <w:sz w:val="24"/>
              </w:rPr>
              <w:t>: Learning alternative spellings and pronunciations for phonemes,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writing sentences using these words along with the next stage of tricky </w:t>
            </w:r>
            <w:r>
              <w:rPr>
                <w:spacing w:val="-2"/>
                <w:sz w:val="24"/>
              </w:rPr>
              <w:t>words.</w:t>
            </w:r>
          </w:p>
          <w:p w:rsidR="00DD57B8" w:rsidRDefault="0062228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rules.</w:t>
            </w:r>
          </w:p>
        </w:tc>
      </w:tr>
      <w:tr w:rsidR="00DD57B8">
        <w:trPr>
          <w:trHeight w:val="831"/>
        </w:trPr>
        <w:tc>
          <w:tcPr>
            <w:tcW w:w="1697" w:type="dxa"/>
          </w:tcPr>
          <w:p w:rsidR="00DD57B8" w:rsidRDefault="0062228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Phoneme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before="1"/>
              <w:ind w:right="182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sound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spelt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letters</w:t>
            </w:r>
            <w:r>
              <w:rPr>
                <w:spacing w:val="-2"/>
              </w:rPr>
              <w:t xml:space="preserve"> </w:t>
            </w:r>
            <w:r>
              <w:t xml:space="preserve">(graphemes). Examples: s, k, z, </w:t>
            </w:r>
            <w:proofErr w:type="spellStart"/>
            <w:r>
              <w:t>oo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proofErr w:type="spellEnd"/>
            <w:r>
              <w:t xml:space="preserve">, </w:t>
            </w:r>
            <w:proofErr w:type="spellStart"/>
            <w:r>
              <w:t>igh</w:t>
            </w:r>
            <w:proofErr w:type="spellEnd"/>
            <w:r>
              <w:t>.</w:t>
            </w:r>
          </w:p>
        </w:tc>
      </w:tr>
      <w:tr w:rsidR="00DD57B8">
        <w:trPr>
          <w:trHeight w:val="829"/>
        </w:trPr>
        <w:tc>
          <w:tcPr>
            <w:tcW w:w="1697" w:type="dxa"/>
          </w:tcPr>
          <w:p w:rsidR="00DD57B8" w:rsidRDefault="0062228B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Pure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Sound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line="267" w:lineRule="exact"/>
            </w:pPr>
            <w:r>
              <w:t>Pronouncing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letter</w:t>
            </w:r>
            <w:r>
              <w:rPr>
                <w:spacing w:val="-6"/>
              </w:rPr>
              <w:t xml:space="preserve"> </w:t>
            </w:r>
            <w:r>
              <w:t>sound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distinctly</w:t>
            </w:r>
            <w:r>
              <w:rPr>
                <w:spacing w:val="-6"/>
              </w:rPr>
              <w:t xml:space="preserve"> </w:t>
            </w:r>
            <w:r>
              <w:t>without</w:t>
            </w:r>
            <w:r>
              <w:rPr>
                <w:spacing w:val="-6"/>
              </w:rPr>
              <w:t xml:space="preserve"> </w:t>
            </w:r>
            <w:r>
              <w:t>adding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additional</w:t>
            </w:r>
          </w:p>
          <w:p w:rsidR="00DD57B8" w:rsidRDefault="0062228B">
            <w:pPr>
              <w:pStyle w:val="TableParagraph"/>
            </w:pPr>
            <w:r>
              <w:t>sounds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end.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example,</w:t>
            </w:r>
            <w:r>
              <w:rPr>
                <w:spacing w:val="-3"/>
              </w:rPr>
              <w:t xml:space="preserve"> </w:t>
            </w:r>
            <w:r>
              <w:t>‘</w:t>
            </w:r>
            <w:proofErr w:type="spellStart"/>
            <w:r>
              <w:t>fffff</w:t>
            </w:r>
            <w:proofErr w:type="spellEnd"/>
            <w:r>
              <w:t>’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‘</w:t>
            </w:r>
            <w:proofErr w:type="spellStart"/>
            <w:r>
              <w:rPr>
                <w:spacing w:val="-2"/>
              </w:rPr>
              <w:t>fuh</w:t>
            </w:r>
            <w:proofErr w:type="spellEnd"/>
            <w:r>
              <w:rPr>
                <w:spacing w:val="-2"/>
              </w:rPr>
              <w:t>’.</w:t>
            </w:r>
          </w:p>
        </w:tc>
      </w:tr>
      <w:tr w:rsidR="00DD57B8">
        <w:trPr>
          <w:trHeight w:val="829"/>
        </w:trPr>
        <w:tc>
          <w:tcPr>
            <w:tcW w:w="1697" w:type="dxa"/>
          </w:tcPr>
          <w:p w:rsidR="00DD57B8" w:rsidRDefault="0062228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Segment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before="3" w:line="237" w:lineRule="auto"/>
            </w:pPr>
            <w:r>
              <w:t>Splitting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sounds,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opposed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blending).</w:t>
            </w:r>
            <w:r>
              <w:rPr>
                <w:spacing w:val="-1"/>
              </w:rPr>
              <w:t xml:space="preserve"> </w:t>
            </w:r>
            <w:r>
              <w:t>(Used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both spelling and writing.)</w:t>
            </w:r>
          </w:p>
        </w:tc>
      </w:tr>
      <w:tr w:rsidR="00DD57B8">
        <w:trPr>
          <w:trHeight w:val="1638"/>
        </w:trPr>
        <w:tc>
          <w:tcPr>
            <w:tcW w:w="1697" w:type="dxa"/>
          </w:tcPr>
          <w:p w:rsidR="00DD57B8" w:rsidRDefault="0062228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Tricky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words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before="1"/>
              <w:ind w:right="182"/>
            </w:pPr>
            <w:r>
              <w:rPr>
                <w:color w:val="231F20"/>
              </w:rPr>
              <w:t>Words that are not fully decodable, either because they have an irregular spelling pattern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or because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words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frequently appear in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texts for children who have not yet learned all the grapheme–phoneme correspondences needed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decode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word.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These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words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are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more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difficult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sound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but nevertheless give some information on pronunciation.</w:t>
            </w:r>
          </w:p>
        </w:tc>
      </w:tr>
      <w:tr w:rsidR="00DD57B8">
        <w:trPr>
          <w:trHeight w:val="560"/>
        </w:trPr>
        <w:tc>
          <w:tcPr>
            <w:tcW w:w="1697" w:type="dxa"/>
          </w:tcPr>
          <w:p w:rsidR="00DD57B8" w:rsidRDefault="0062228B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Trigraph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line="267" w:lineRule="exact"/>
            </w:pPr>
            <w:r>
              <w:rPr>
                <w:color w:val="231F20"/>
              </w:rPr>
              <w:t>Three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letters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which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together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make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one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sound.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Example: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ear,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air,</w:t>
            </w:r>
            <w:r>
              <w:rPr>
                <w:color w:val="231F20"/>
                <w:spacing w:val="-3"/>
              </w:rPr>
              <w:t xml:space="preserve"> </w:t>
            </w:r>
            <w:proofErr w:type="spellStart"/>
            <w:r>
              <w:rPr>
                <w:color w:val="231F20"/>
              </w:rPr>
              <w:t>igh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dge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tch.</w:t>
            </w:r>
          </w:p>
        </w:tc>
      </w:tr>
      <w:tr w:rsidR="00DD57B8">
        <w:trPr>
          <w:trHeight w:val="560"/>
        </w:trPr>
        <w:tc>
          <w:tcPr>
            <w:tcW w:w="1697" w:type="dxa"/>
          </w:tcPr>
          <w:p w:rsidR="00DD57B8" w:rsidRDefault="0062228B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Vowel</w:t>
            </w:r>
          </w:p>
        </w:tc>
        <w:tc>
          <w:tcPr>
            <w:tcW w:w="7286" w:type="dxa"/>
          </w:tcPr>
          <w:p w:rsidR="00DD57B8" w:rsidRDefault="0062228B">
            <w:pPr>
              <w:pStyle w:val="TableParagraph"/>
              <w:spacing w:line="267" w:lineRule="exact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letters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a, e,</w:t>
            </w:r>
            <w:r>
              <w:rPr>
                <w:color w:val="231F20"/>
                <w:spacing w:val="-1"/>
              </w:rPr>
              <w:t xml:space="preserve"> </w:t>
            </w:r>
            <w:proofErr w:type="spellStart"/>
            <w:r>
              <w:rPr>
                <w:color w:val="231F20"/>
              </w:rPr>
              <w:t>i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 xml:space="preserve">o, </w:t>
            </w:r>
            <w:r>
              <w:rPr>
                <w:color w:val="231F20"/>
                <w:spacing w:val="-5"/>
              </w:rPr>
              <w:t>u.</w:t>
            </w:r>
          </w:p>
        </w:tc>
      </w:tr>
    </w:tbl>
    <w:p w:rsidR="0062228B" w:rsidRDefault="0062228B"/>
    <w:sectPr w:rsidR="0062228B">
      <w:type w:val="continuous"/>
      <w:pgSz w:w="11900" w:h="16850"/>
      <w:pgMar w:top="1560" w:right="1340" w:bottom="1020" w:left="134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28B" w:rsidRDefault="0062228B">
      <w:r>
        <w:separator/>
      </w:r>
    </w:p>
  </w:endnote>
  <w:endnote w:type="continuationSeparator" w:id="0">
    <w:p w:rsidR="0062228B" w:rsidRDefault="006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B8" w:rsidRDefault="0062228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>
          <wp:simplePos x="0" y="0"/>
          <wp:positionH relativeFrom="page">
            <wp:posOffset>201296</wp:posOffset>
          </wp:positionH>
          <wp:positionV relativeFrom="page">
            <wp:posOffset>9984758</wp:posOffset>
          </wp:positionV>
          <wp:extent cx="1549400" cy="4825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482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6527038</wp:posOffset>
              </wp:positionH>
              <wp:positionV relativeFrom="page">
                <wp:posOffset>10077703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57B8" w:rsidRDefault="0062228B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3.95pt;margin-top:793.5pt;width:13.1pt;height:1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" filled="f" stroked="f">
              <v:textbox inset="0,0,0,0">
                <w:txbxContent>
                  <w:p w:rsidR="00DD57B8" w:rsidRDefault="0062228B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28B" w:rsidRDefault="0062228B">
      <w:r>
        <w:separator/>
      </w:r>
    </w:p>
  </w:footnote>
  <w:footnote w:type="continuationSeparator" w:id="0">
    <w:p w:rsidR="0062228B" w:rsidRDefault="006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B8" w:rsidRDefault="0062228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544" cy="6642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5544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BC0"/>
    <w:multiLevelType w:val="hybridMultilevel"/>
    <w:tmpl w:val="9072C8B8"/>
    <w:lvl w:ilvl="0" w:tplc="C30412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9AB504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2" w:tplc="DBCEFA36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3" w:tplc="76CC0EC0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4" w:tplc="2A382ACC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37ECCE5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6" w:tplc="69ECF06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D84437BE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8" w:tplc="E77AB64E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6B6773"/>
    <w:multiLevelType w:val="hybridMultilevel"/>
    <w:tmpl w:val="F41EEB2E"/>
    <w:lvl w:ilvl="0" w:tplc="C64851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FC36BC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2" w:tplc="4B160BA8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3" w:tplc="78C82320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4" w:tplc="DF0C56A2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138A1A2C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6" w:tplc="7BA04DD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45C651CA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8" w:tplc="2BDAB040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3424E1"/>
    <w:multiLevelType w:val="hybridMultilevel"/>
    <w:tmpl w:val="FE7A1FC0"/>
    <w:lvl w:ilvl="0" w:tplc="7C80CDD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A90E6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2" w:tplc="6158CD54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3" w:tplc="B5C4BA84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4" w:tplc="D89A3630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24D0B9D2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6" w:tplc="505AF8C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08C24422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8" w:tplc="36025D30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6C482D"/>
    <w:multiLevelType w:val="hybridMultilevel"/>
    <w:tmpl w:val="4B160B7C"/>
    <w:lvl w:ilvl="0" w:tplc="D7EE65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5A9408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ar-SA"/>
      </w:rPr>
    </w:lvl>
    <w:lvl w:ilvl="2" w:tplc="A1EED766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3" w:tplc="16E82164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4" w:tplc="68C49C7C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C2DCE448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6" w:tplc="350C703C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13D2B0AC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8" w:tplc="2F3EA206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B8"/>
    <w:rsid w:val="0062228B"/>
    <w:rsid w:val="00694C31"/>
    <w:rsid w:val="00D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78796-9918-4EFE-A52D-3A468C6E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Law</dc:creator>
  <cp:lastModifiedBy>Catherine Coatsworth</cp:lastModifiedBy>
  <cp:revision>2</cp:revision>
  <dcterms:created xsi:type="dcterms:W3CDTF">2023-07-05T13:45:00Z</dcterms:created>
  <dcterms:modified xsi:type="dcterms:W3CDTF">2023-07-05T13:45:00Z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for Microsoft 365</vt:lpwstr>
  </property>
</Properties>
</file>